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28138A23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jc w:val="center"/>
        <w:spacing w:after="160" w:beforeAutospacing="0" w:afterAutospacing="0"/>
        <w:ind w:left="360"/>
        <w:rPr>
          <w:rFonts w:ascii="Arial" w:hAnsi="Arial"/>
          <w:sz w:val="24"/>
          <w:color w:val="000000"/>
        </w:rPr>
      </w:pPr>
      <w:r>
        <w:rPr>
          <w:rFonts w:ascii="Calibri" w:hAnsi="Calibri"/>
          <w:b w:val="1"/>
          <w:color w:val="000000"/>
        </w:rPr>
        <w:t>Ελάχιστες Απαιτήσεις</w:t>
      </w:r>
    </w:p>
    <w:p>
      <w:pPr>
        <w:jc w:val="both"/>
        <w:spacing w:after="160" w:beforeAutospacing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Ο ανάδοχος θα πρέπει </w:t>
      </w:r>
    </w:p>
    <w:p>
      <w:pPr>
        <w:pStyle w:val="P1"/>
        <w:jc w:val="both"/>
        <w:spacing w:after="160" w:beforeAutospacing="0" w:afterAutospacing="0"/>
        <w:rPr>
          <w:rFonts w:ascii="Arial" w:hAnsi="Arial"/>
          <w:sz w:val="24"/>
          <w:color w:val="000000"/>
        </w:rPr>
        <w:numPr>
          <w:ilvl w:val="0"/>
          <w:numId w:val="5"/>
        </w:numPr>
      </w:pPr>
      <w:r>
        <w:rPr>
          <w:rFonts w:ascii="Calibri" w:hAnsi="Calibri"/>
          <w:color w:val="000000"/>
        </w:rPr>
        <w:t xml:space="preserve">να διαθέτει τουλάχιστον δύο (2) παρόμοια έργα την τελευταία τριετία (βεβαίωση καλή εκτέλεσης) </w:t>
      </w:r>
    </w:p>
    <w:p>
      <w:pPr>
        <w:pStyle w:val="P1"/>
        <w:jc w:val="both"/>
        <w:spacing w:after="160" w:beforeAutospacing="0" w:afterAutospacing="0"/>
        <w:rPr>
          <w:rFonts w:ascii="Arial" w:hAnsi="Arial"/>
          <w:sz w:val="24"/>
          <w:color w:val="000000"/>
        </w:rPr>
        <w:numPr>
          <w:ilvl w:val="0"/>
          <w:numId w:val="5"/>
        </w:numPr>
      </w:pPr>
      <w:r>
        <w:rPr>
          <w:rFonts w:ascii="Calibri" w:hAnsi="Calibri"/>
          <w:color w:val="000000"/>
        </w:rPr>
        <w:t xml:space="preserve">να διαθέτει τουλάχιστον 2 εξειδικευμένους τεχνικούς στο αντικείμενο του έργου, οι οποίοι θα έχουν υλοποιήσει αντίστοιχο έργο στο παρελθόν και </w:t>
      </w:r>
    </w:p>
    <w:p>
      <w:pPr>
        <w:pStyle w:val="P1"/>
        <w:jc w:val="both"/>
        <w:spacing w:after="160" w:beforeAutospacing="0" w:afterAutospacing="0"/>
        <w:rPr>
          <w:rFonts w:ascii="Arial" w:hAnsi="Arial"/>
          <w:sz w:val="24"/>
          <w:color w:val="000000"/>
        </w:rPr>
        <w:numPr>
          <w:ilvl w:val="0"/>
          <w:numId w:val="5"/>
        </w:numPr>
      </w:pPr>
      <w:r>
        <w:rPr>
          <w:rFonts w:ascii="Calibri" w:hAnsi="Calibri"/>
          <w:color w:val="000000"/>
        </w:rPr>
        <w:t>να είναι πιστοποιημένος στη διαχείριση της ασφάλειας κατά ISO/IEC 27001</w:t>
      </w:r>
    </w:p>
    <w:p>
      <w:pPr>
        <w:jc w:val="center"/>
        <w:spacing w:after="160" w:beforeAutospacing="0" w:afterAutospacing="0"/>
        <w:rPr>
          <w:rFonts w:ascii="Arial" w:hAnsi="Arial"/>
          <w:sz w:val="24"/>
          <w:color w:val="000000"/>
        </w:rPr>
      </w:pPr>
      <w:r>
        <w:rPr>
          <w:rFonts w:ascii="Calibri" w:hAnsi="Calibri"/>
          <w:b w:val="1"/>
          <w:color w:val="000000"/>
        </w:rPr>
        <w:t>Τεχνική Περιγραφή</w:t>
      </w:r>
    </w:p>
    <w:p>
      <w:pPr>
        <w:jc w:val="both"/>
        <w:ind w:right="26"/>
        <w:rPr>
          <w:rFonts w:ascii="Arial" w:hAnsi="Arial"/>
          <w:sz w:val="24"/>
          <w:color w:val="000000"/>
        </w:rPr>
      </w:pPr>
      <w:r>
        <w:rPr>
          <w:rFonts w:ascii="Calibri" w:hAnsi="Calibri"/>
          <w:color w:val="000000"/>
        </w:rPr>
        <w:t xml:space="preserve">Ο ανάδοχος θα πρέπει να προσφέρει </w:t>
      </w:r>
    </w:p>
    <w:p>
      <w:pPr>
        <w:jc w:val="both"/>
        <w:ind w:right="26"/>
        <w:rPr>
          <w:rFonts w:ascii="Arial" w:hAnsi="Arial"/>
          <w:color w:val="000000"/>
        </w:rPr>
        <w:numPr>
          <w:ilvl w:val="0"/>
          <w:numId w:val="1"/>
        </w:numPr>
      </w:pPr>
      <w:r>
        <w:rPr>
          <w:rFonts w:ascii="Calibri" w:hAnsi="Calibri"/>
          <w:color w:val="000000"/>
        </w:rPr>
        <w:t xml:space="preserve">δύο (2) εξειδικευμένες συσκευές Application Delivery Controller, για την υψηλή διαθεσιμότητα και την προστασία των εφαρμογών που προσφέρουν περιεχόμενο διαδικτύου και / ή </w:t>
      </w:r>
    </w:p>
    <w:p>
      <w:pPr>
        <w:jc w:val="both"/>
        <w:ind w:right="26"/>
        <w:rPr>
          <w:rFonts w:ascii="Arial" w:hAnsi="Arial"/>
          <w:color w:val="000000"/>
        </w:rPr>
        <w:numPr>
          <w:ilvl w:val="0"/>
          <w:numId w:val="1"/>
        </w:numPr>
      </w:pPr>
      <w:r>
        <w:rPr>
          <w:rFonts w:ascii="Calibri" w:hAnsi="Calibri"/>
          <w:color w:val="000000"/>
        </w:rPr>
        <w:t xml:space="preserve">δύο (2) εξειδικευμένες συσκευές Web Application Firewall για την προστασία των εφαρμογών που προσφέρουν περιεχόμενο διαδικτύου. </w:t>
      </w:r>
    </w:p>
    <w:p>
      <w:pPr>
        <w:jc w:val="both"/>
        <w:ind w:right="26"/>
        <w:rPr>
          <w:rFonts w:ascii="Arial" w:hAnsi="Arial"/>
          <w:sz w:val="24"/>
          <w:color w:val="000000"/>
        </w:rPr>
      </w:pPr>
      <w:r>
        <w:rPr>
          <w:rFonts w:ascii="Arial" w:hAnsi="Arial"/>
          <w:sz w:val="24"/>
          <w:color w:val="000000"/>
        </w:rPr>
        <w:t> </w:t>
      </w:r>
    </w:p>
    <w:p>
      <w:pPr>
        <w:jc w:val="both"/>
        <w:ind w:right="26"/>
        <w:rPr>
          <w:rFonts w:ascii="Arial" w:hAnsi="Arial"/>
          <w:sz w:val="24"/>
          <w:color w:val="000000"/>
        </w:rPr>
      </w:pPr>
      <w:r>
        <w:rPr>
          <w:rFonts w:ascii="Calibri" w:hAnsi="Calibri"/>
          <w:color w:val="000000"/>
        </w:rPr>
        <w:t>O ρόλος της λύσης των Application Delivery Controllers θα πρέπει να καλύπτει τουλάχιστον τα ακόλουθα:</w:t>
      </w:r>
    </w:p>
    <w:p>
      <w:pPr>
        <w:jc w:val="both"/>
        <w:spacing w:before="1" w:beforeAutospacing="0" w:afterAutospacing="0"/>
        <w:ind w:right="26"/>
        <w:rPr>
          <w:rFonts w:ascii="Arial" w:hAnsi="Arial"/>
          <w:color w:val="000000"/>
        </w:rPr>
        <w:numPr>
          <w:ilvl w:val="0"/>
          <w:numId w:val="2"/>
        </w:numPr>
      </w:pPr>
      <w:r>
        <w:rPr>
          <w:rFonts w:ascii="Calibri" w:hAnsi="Calibri"/>
          <w:color w:val="000000"/>
        </w:rPr>
        <w:t>Διαμερισμός της web κίνησης προς τους web servers.</w:t>
      </w:r>
    </w:p>
    <w:p>
      <w:pPr>
        <w:jc w:val="both"/>
        <w:spacing w:before="1" w:beforeAutospacing="0" w:afterAutospacing="0"/>
        <w:ind w:right="26"/>
        <w:rPr>
          <w:rFonts w:ascii="Arial" w:hAnsi="Arial"/>
          <w:color w:val="000000"/>
        </w:rPr>
        <w:numPr>
          <w:ilvl w:val="0"/>
          <w:numId w:val="2"/>
        </w:numPr>
      </w:pPr>
      <w:r>
        <w:rPr>
          <w:rFonts w:ascii="Calibri" w:hAnsi="Calibri"/>
          <w:color w:val="000000"/>
        </w:rPr>
        <w:t>Ανάλυση και έλεγχος της web κίνησης που δρομολογείται από και προς τις κρίσιμες ιστοσελίδες της υποδομής και όλες τις εφαρμογές π</w:t>
      </w:r>
      <w:bookmarkStart w:id="0" w:name="_GoBack"/>
      <w:bookmarkEnd w:id="0"/>
      <w:r>
        <w:rPr>
          <w:rFonts w:ascii="Calibri" w:hAnsi="Calibri"/>
          <w:color w:val="000000"/>
        </w:rPr>
        <w:t>ου σερβίρονται προς τα έξω.</w:t>
      </w:r>
    </w:p>
    <w:p>
      <w:pPr>
        <w:jc w:val="both"/>
        <w:ind w:right="26"/>
        <w:rPr>
          <w:rFonts w:ascii="Arial" w:hAnsi="Arial"/>
          <w:color w:val="000000"/>
        </w:rPr>
        <w:numPr>
          <w:ilvl w:val="0"/>
          <w:numId w:val="2"/>
        </w:numPr>
      </w:pPr>
      <w:r>
        <w:rPr>
          <w:rFonts w:ascii="Calibri" w:hAnsi="Calibri"/>
          <w:color w:val="000000"/>
        </w:rPr>
        <w:t xml:space="preserve">Διαχείριση μέσω γραφικής κονσόλας διαχείρισης </w:t>
      </w:r>
    </w:p>
    <w:p>
      <w:pPr>
        <w:jc w:val="both"/>
        <w:spacing w:before="4" w:beforeAutospacing="0" w:afterAutospacing="0"/>
        <w:ind w:right="26"/>
        <w:rPr>
          <w:rFonts w:ascii="Arial" w:hAnsi="Arial"/>
          <w:color w:val="000000"/>
        </w:rPr>
        <w:numPr>
          <w:ilvl w:val="0"/>
          <w:numId w:val="2"/>
        </w:numPr>
      </w:pPr>
      <w:r>
        <w:rPr>
          <w:rFonts w:ascii="Calibri" w:hAnsi="Calibri"/>
          <w:color w:val="000000"/>
        </w:rPr>
        <w:t>Να μπορούν να συνδεθούν στο δίκτυο «σε σειρά» (inline), σε λειτουργία  υψηλής διαθεσιμότητας με ολοκληρωμένη δυνατότητα ανίχνευσης και καταστολής απειλών προς εφαρμογές περιεχομένου διαδικτύου.</w:t>
      </w:r>
    </w:p>
    <w:p>
      <w:pPr>
        <w:jc w:val="both"/>
        <w:spacing w:before="6" w:beforeAutospacing="0" w:afterAutospacing="0"/>
        <w:ind w:right="26"/>
        <w:rPr>
          <w:rFonts w:ascii="Arial" w:hAnsi="Arial"/>
          <w:color w:val="000000"/>
        </w:rPr>
        <w:numPr>
          <w:ilvl w:val="0"/>
          <w:numId w:val="2"/>
        </w:numPr>
      </w:pPr>
      <w:r>
        <w:rPr>
          <w:rFonts w:ascii="Calibri" w:hAnsi="Calibri"/>
          <w:color w:val="000000"/>
        </w:rPr>
        <w:t>Έγκαιρη ανίχνευση και καταστολή επιθέσεων που πλήττουν τη διαθεσιμότητα των συστημάτων τύπου Denial-of-Service (DoS).</w:t>
      </w:r>
    </w:p>
    <w:p>
      <w:pPr>
        <w:jc w:val="both"/>
        <w:ind w:right="26"/>
        <w:rPr>
          <w:rFonts w:ascii="Arial" w:hAnsi="Arial"/>
          <w:color w:val="000000"/>
        </w:rPr>
        <w:numPr>
          <w:ilvl w:val="0"/>
          <w:numId w:val="2"/>
        </w:numPr>
      </w:pPr>
      <w:r>
        <w:rPr>
          <w:rFonts w:ascii="Calibri" w:hAnsi="Calibri"/>
          <w:color w:val="000000"/>
        </w:rPr>
        <w:t>Έγκαιρος εντοπισμός και καταστολή επιθέσεων – απειλών σε επίπεδο Web εφαρμογών</w:t>
      </w:r>
    </w:p>
    <w:p>
      <w:pPr>
        <w:jc w:val="both"/>
        <w:spacing w:before="1" w:beforeAutospacing="0" w:afterAutospacing="0"/>
        <w:ind w:right="26"/>
        <w:rPr>
          <w:rFonts w:ascii="Arial" w:hAnsi="Arial"/>
          <w:color w:val="000000"/>
        </w:rPr>
        <w:numPr>
          <w:ilvl w:val="0"/>
          <w:numId w:val="2"/>
        </w:numPr>
      </w:pPr>
      <w:r>
        <w:rPr>
          <w:rFonts w:ascii="Calibri" w:hAnsi="Calibri"/>
          <w:color w:val="000000"/>
        </w:rPr>
        <w:t>Αποτροπή της διαρροής ευαίσθητων δεδομένων ως αποτέλεσμα κάποιου μη εξουσιοδοτημένου http request. Εντοπισμός και αποτροπή επιθέσεων σε επίπεδο πρωτοκόλλου HTTP (protocol anomalies π.χ. malformed URLs)</w:t>
      </w:r>
    </w:p>
    <w:p>
      <w:pPr>
        <w:jc w:val="both"/>
        <w:spacing w:before="1" w:beforeAutospacing="0" w:afterAutospacing="0"/>
        <w:ind w:right="26"/>
        <w:rPr>
          <w:rFonts w:ascii="Arial" w:hAnsi="Arial"/>
          <w:color w:val="000000"/>
        </w:rPr>
        <w:numPr>
          <w:ilvl w:val="0"/>
          <w:numId w:val="2"/>
        </w:numPr>
      </w:pPr>
      <w:r>
        <w:rPr>
          <w:rFonts w:ascii="Calibri" w:hAnsi="Calibri"/>
          <w:color w:val="000000"/>
        </w:rPr>
        <w:t xml:space="preserve">Φιλτάρισμα βάση της IP διεύθυνσης και την γεωγραφική τοποθεσία των απομακρυσμένων χρηστών. </w:t>
      </w:r>
    </w:p>
    <w:p>
      <w:pPr>
        <w:jc w:val="both"/>
        <w:spacing w:before="1" w:beforeAutospacing="0" w:afterAutospacing="0"/>
        <w:ind w:right="26"/>
        <w:rPr>
          <w:rFonts w:ascii="Arial" w:hAnsi="Arial"/>
          <w:sz w:val="24"/>
          <w:color w:val="000000"/>
        </w:rPr>
      </w:pPr>
      <w:r>
        <w:rPr>
          <w:rFonts w:ascii="Arial" w:hAnsi="Arial"/>
          <w:sz w:val="24"/>
          <w:color w:val="000000"/>
        </w:rPr>
        <w:t> </w:t>
      </w:r>
    </w:p>
    <w:p>
      <w:pPr>
        <w:jc w:val="both"/>
        <w:spacing w:before="1" w:beforeAutospacing="0" w:afterAutospacing="0"/>
        <w:ind w:right="26"/>
        <w:rPr>
          <w:rFonts w:ascii="Arial" w:hAnsi="Arial"/>
          <w:sz w:val="24"/>
          <w:color w:val="000000"/>
        </w:rPr>
      </w:pPr>
      <w:r>
        <w:rPr>
          <w:rFonts w:ascii="Calibri" w:hAnsi="Calibri"/>
          <w:color w:val="000000"/>
        </w:rPr>
        <w:t xml:space="preserve">Ο ανάδοχος υποχρεούται να προχωρήσει σε πλήρη μετάπτωση των ήδη υπαρχουσών υπηρεσιών της ΒτΕ, που θα του υποδειχθούν από τα τμήματα που είναι υπεύθυνα για τη λειτουργία αυτών. </w:t>
      </w:r>
    </w:p>
    <w:p>
      <w:pPr>
        <w:jc w:val="both"/>
        <w:spacing w:before="1" w:beforeAutospacing="0" w:afterAutospacing="0"/>
        <w:ind w:right="26"/>
        <w:rPr>
          <w:rFonts w:ascii="Arial" w:hAnsi="Arial"/>
          <w:sz w:val="24"/>
          <w:color w:val="000000"/>
        </w:rPr>
      </w:pPr>
      <w:r>
        <w:rPr>
          <w:rFonts w:ascii="Calibri" w:hAnsi="Calibri"/>
          <w:color w:val="000000"/>
        </w:rPr>
        <w:t xml:space="preserve">Ενδεικτικά, θα πρέπει να ενταχθούν στον έλεγχο των ADC: </w:t>
      </w:r>
    </w:p>
    <w:p>
      <w:pPr>
        <w:jc w:val="both"/>
        <w:spacing w:before="1" w:beforeAutospacing="0" w:afterAutospacing="0"/>
        <w:ind w:right="26"/>
        <w:rPr>
          <w:rFonts w:ascii="Arial" w:hAnsi="Arial"/>
          <w:color w:val="000000"/>
        </w:rPr>
        <w:numPr>
          <w:ilvl w:val="0"/>
          <w:numId w:val="3"/>
        </w:numPr>
      </w:pPr>
      <w:r>
        <w:rPr>
          <w:rFonts w:ascii="Calibri" w:hAnsi="Calibri"/>
          <w:color w:val="000000"/>
        </w:rPr>
        <w:t xml:space="preserve">2 IIS web servers </w:t>
      </w:r>
    </w:p>
    <w:p>
      <w:pPr>
        <w:jc w:val="both"/>
        <w:spacing w:before="1" w:beforeAutospacing="0" w:afterAutospacing="0"/>
        <w:ind w:right="26"/>
        <w:rPr>
          <w:rFonts w:ascii="Arial" w:hAnsi="Arial"/>
          <w:color w:val="000000"/>
        </w:rPr>
        <w:numPr>
          <w:ilvl w:val="0"/>
          <w:numId w:val="3"/>
        </w:numPr>
      </w:pPr>
      <w:r>
        <w:rPr>
          <w:rFonts w:ascii="Calibri" w:hAnsi="Calibri"/>
          <w:color w:val="000000"/>
        </w:rPr>
        <w:t xml:space="preserve">2 Exchange Client Access servers </w:t>
      </w:r>
    </w:p>
    <w:p>
      <w:pPr>
        <w:jc w:val="both"/>
        <w:spacing w:before="1" w:beforeAutospacing="0" w:afterAutospacing="0"/>
        <w:ind w:right="26"/>
        <w:rPr>
          <w:rFonts w:ascii="Arial" w:hAnsi="Arial"/>
          <w:color w:val="000000"/>
          <w:lang w:val="en-US"/>
        </w:rPr>
        <w:numPr>
          <w:ilvl w:val="0"/>
          <w:numId w:val="3"/>
        </w:numPr>
      </w:pPr>
      <w:r>
        <w:rPr>
          <w:rFonts w:ascii="Calibri" w:hAnsi="Calibri"/>
          <w:color w:val="000000"/>
          <w:lang w:val="en-US"/>
        </w:rPr>
        <w:t xml:space="preserve">2 Cisco Web Security Appliance Proxy servers </w:t>
      </w:r>
    </w:p>
    <w:p>
      <w:pPr>
        <w:jc w:val="both"/>
        <w:spacing w:before="1" w:beforeAutospacing="0" w:afterAutospacing="0"/>
        <w:ind w:right="26"/>
        <w:rPr>
          <w:rFonts w:ascii="Arial" w:hAnsi="Arial"/>
          <w:sz w:val="24"/>
          <w:color w:val="000000"/>
        </w:rPr>
      </w:pPr>
      <w:r>
        <w:rPr>
          <w:rFonts w:ascii="Calibri" w:hAnsi="Calibri"/>
          <w:color w:val="000000"/>
        </w:rPr>
        <w:t>και ό,τι άλλο υποδειχθεί από τους μηχανικούς της ΒτΕ ή συμφωνηθεί κατά το σχεδιασμό της αρχιτεκτονικής, σε συνδυασμό με τα WAF</w:t>
      </w:r>
    </w:p>
    <w:p>
      <w:pPr>
        <w:jc w:val="both"/>
        <w:spacing w:before="1" w:beforeAutospacing="0" w:afterAutospacing="0"/>
        <w:ind w:right="26"/>
        <w:rPr>
          <w:rFonts w:ascii="Arial" w:hAnsi="Arial"/>
          <w:sz w:val="24"/>
          <w:color w:val="000000"/>
        </w:rPr>
      </w:pPr>
      <w:r>
        <w:rPr>
          <w:rFonts w:ascii="Calibri" w:hAnsi="Calibri"/>
          <w:color w:val="000000"/>
        </w:rPr>
        <w:t>Ενδεικτικά, θα πρέπει να ενταχθούν στον έλεγχο των WAF:</w:t>
      </w:r>
    </w:p>
    <w:p>
      <w:pPr>
        <w:jc w:val="both"/>
        <w:spacing w:before="1" w:beforeAutospacing="0" w:afterAutospacing="0"/>
        <w:ind w:left="765" w:right="26"/>
        <w:rPr>
          <w:rFonts w:ascii="Arial" w:hAnsi="Arial"/>
          <w:color w:val="000000"/>
        </w:rPr>
        <w:numPr>
          <w:ilvl w:val="0"/>
          <w:numId w:val="4"/>
        </w:numPr>
      </w:pPr>
      <w:r>
        <w:rPr>
          <w:rFonts w:ascii="Calibri" w:hAnsi="Calibri"/>
          <w:color w:val="000000"/>
        </w:rPr>
        <w:t xml:space="preserve">Όλα τα site που φιλοξενούνται στις υποδομές της ΒτΕ </w:t>
      </w:r>
    </w:p>
    <w:p>
      <w:pPr>
        <w:jc w:val="both"/>
        <w:spacing w:before="1" w:beforeAutospacing="0" w:afterAutospacing="0"/>
        <w:ind w:left="765" w:right="26"/>
        <w:rPr>
          <w:rFonts w:ascii="Arial" w:hAnsi="Arial"/>
          <w:color w:val="000000"/>
        </w:rPr>
        <w:numPr>
          <w:ilvl w:val="0"/>
          <w:numId w:val="4"/>
        </w:numPr>
      </w:pPr>
      <w:r>
        <w:rPr>
          <w:rFonts w:ascii="Calibri" w:hAnsi="Calibri"/>
          <w:color w:val="000000"/>
        </w:rPr>
        <w:t xml:space="preserve">Υπηρεσίες που θα υποδειχθούν όπως Skype 4 Business </w:t>
      </w:r>
    </w:p>
    <w:p>
      <w:pPr>
        <w:jc w:val="both"/>
        <w:spacing w:before="1" w:beforeAutospacing="0" w:afterAutospacing="0"/>
        <w:ind w:left="765" w:right="26"/>
        <w:rPr>
          <w:rFonts w:ascii="Arial" w:hAnsi="Arial"/>
          <w:color w:val="000000"/>
        </w:rPr>
        <w:numPr>
          <w:ilvl w:val="0"/>
          <w:numId w:val="4"/>
        </w:numPr>
      </w:pPr>
      <w:r>
        <w:rPr>
          <w:rFonts w:ascii="Calibri" w:hAnsi="Calibri"/>
          <w:color w:val="000000"/>
        </w:rPr>
        <w:t xml:space="preserve">H κίνηση του exchange server </w:t>
      </w:r>
    </w:p>
    <w:p>
      <w:pPr>
        <w:jc w:val="both"/>
        <w:spacing w:before="1" w:beforeAutospacing="0" w:afterAutospacing="0"/>
        <w:ind w:right="26"/>
        <w:rPr>
          <w:rFonts w:ascii="Arial" w:hAnsi="Arial"/>
          <w:sz w:val="24"/>
          <w:color w:val="000000"/>
        </w:rPr>
      </w:pPr>
      <w:r>
        <w:rPr>
          <w:rFonts w:ascii="Calibri" w:hAnsi="Calibri"/>
          <w:color w:val="000000"/>
        </w:rPr>
        <w:t>και ό,τι άλλο υποδειχθεί από τους μηχανικούς της ΒτΕ ή συμφωνηθεί κατά το σχεδιασμό της αρχιτεκτονικής, σε συνδυασμό με τους ADC</w:t>
      </w:r>
    </w:p>
    <w:p>
      <w:pPr>
        <w:jc w:val="both"/>
        <w:spacing w:before="1" w:beforeAutospacing="0" w:afterAutospacing="0"/>
        <w:ind w:right="26"/>
        <w:rPr>
          <w:rFonts w:ascii="Arial" w:hAnsi="Arial"/>
          <w:sz w:val="24"/>
          <w:color w:val="000000"/>
        </w:rPr>
      </w:pPr>
      <w:r>
        <w:rPr>
          <w:rFonts w:ascii="Arial" w:hAnsi="Arial"/>
          <w:sz w:val="24"/>
          <w:color w:val="000000"/>
        </w:rPr>
        <w:t> </w:t>
      </w:r>
    </w:p>
    <w:p>
      <w:pPr>
        <w:jc w:val="both"/>
        <w:spacing w:before="1" w:beforeAutospacing="0" w:afterAutospacing="0"/>
        <w:ind w:right="26"/>
        <w:rPr>
          <w:rFonts w:ascii="Arial" w:hAnsi="Arial"/>
          <w:color w:val="000000"/>
        </w:rPr>
      </w:pPr>
      <w:r>
        <w:rPr>
          <w:rFonts w:ascii="Calibri" w:hAnsi="Calibri"/>
          <w:color w:val="000000"/>
        </w:rPr>
        <w:t>Οι συσκευές θα πρέπει να καλύπτονται από έναν (1) χρόνο εγγύησης καλής λειτουργίας, υποστήριξης (9</w:t>
      </w:r>
      <w:r>
        <w:rPr>
          <w:rFonts w:ascii="Calibri" w:hAnsi="Calibri"/>
          <w:color w:val="000000"/>
          <w:lang w:val="en-US"/>
        </w:rPr>
        <w:t>x</w:t>
      </w:r>
      <w:r>
        <w:rPr>
          <w:rFonts w:ascii="Calibri" w:hAnsi="Calibri"/>
          <w:color w:val="000000"/>
        </w:rPr>
        <w:t xml:space="preserve">5 </w:t>
      </w:r>
      <w:r>
        <w:rPr>
          <w:rFonts w:ascii="Calibri" w:hAnsi="Calibri"/>
          <w:color w:val="000000"/>
          <w:lang w:val="en-US"/>
        </w:rPr>
        <w:t>NBD</w:t>
      </w:r>
      <w:r>
        <w:rPr>
          <w:rFonts w:ascii="Calibri" w:hAnsi="Calibri"/>
          <w:color w:val="000000"/>
        </w:rPr>
        <w:t xml:space="preserve">) και πλήρους αδειοδότησης. </w:t>
      </w:r>
    </w:p>
    <w:p/>
    <w:sectPr>
      <w:type w:val="nextPage"/>
      <w:pgMar w:left="1134" w:right="1134" w:top="1134" w:bottom="1134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84B4376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">
    <w:nsid w:val="357A48A8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2">
    <w:nsid w:val="50A75EB8"/>
    <w:multiLevelType w:val="hybridMultilevel"/>
    <w:lvl w:ilvl="0" w:tplc="4080001">
      <w:pPr>
        <w:ind w:hanging="360" w:left="72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1" w:tplc="4080003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 w:tplc="4080005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 w:tplc="4080001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 w:tplc="4080003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 w:tplc="408000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 w:tplc="4080001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 w:tplc="4080003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 w:tplc="4080005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3">
    <w:nsid w:val="69F17D5D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4">
    <w:nsid w:val="6DC55F20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n-US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lang w:val="el-GR" w:eastAsia="el-GR"/>
    </w:rPr>
  </w:style>
  <w:style w:type="paragraph" w:styleId="P1">
    <w:name w:val="List Paragraph"/>
    <w:qFormat/>
    <w:basedOn w:val="P0"/>
    <w:pPr>
      <w:ind w:left="720"/>
      <w:contextualSpacing w:val="1"/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